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A5A" w:rsidRPr="000539C0" w:rsidRDefault="00376A5A" w:rsidP="00376A5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0539C0">
        <w:rPr>
          <w:rFonts w:cs="Arial"/>
          <w:b/>
          <w:noProof/>
          <w:sz w:val="24"/>
          <w:szCs w:val="24"/>
        </w:rPr>
        <w:t>3GPP TSG-</w:t>
      </w:r>
      <w:r w:rsidRPr="000539C0">
        <w:rPr>
          <w:rFonts w:cs="Arial"/>
          <w:b/>
          <w:noProof/>
          <w:sz w:val="24"/>
          <w:szCs w:val="24"/>
          <w:lang w:eastAsia="zh-CN"/>
        </w:rPr>
        <w:t>RAN WG1</w:t>
      </w:r>
      <w:r w:rsidRPr="000539C0">
        <w:rPr>
          <w:rFonts w:cs="Arial"/>
          <w:b/>
          <w:noProof/>
          <w:sz w:val="24"/>
          <w:szCs w:val="24"/>
        </w:rPr>
        <w:t xml:space="preserve"> </w:t>
      </w:r>
      <w:r w:rsidRPr="000539C0">
        <w:rPr>
          <w:rFonts w:eastAsia="MS Mincho" w:cs="Arial" w:hint="eastAsia"/>
          <w:b/>
          <w:bCs/>
          <w:sz w:val="24"/>
          <w:szCs w:val="24"/>
          <w:lang w:eastAsia="ja-JP"/>
        </w:rPr>
        <w:t xml:space="preserve">Meeting </w:t>
      </w:r>
      <w:r w:rsidRPr="000539C0">
        <w:rPr>
          <w:rFonts w:cs="Arial"/>
          <w:b/>
          <w:bCs/>
          <w:sz w:val="24"/>
          <w:szCs w:val="24"/>
        </w:rPr>
        <w:t>NR#3</w:t>
      </w:r>
      <w:r w:rsidRPr="000539C0">
        <w:rPr>
          <w:rFonts w:cs="Arial"/>
          <w:b/>
          <w:i/>
          <w:noProof/>
          <w:sz w:val="24"/>
          <w:szCs w:val="24"/>
        </w:rPr>
        <w:t xml:space="preserve">                      </w:t>
      </w:r>
      <w:r w:rsidR="00F92B92">
        <w:rPr>
          <w:rFonts w:cs="Arial"/>
          <w:b/>
          <w:sz w:val="24"/>
          <w:szCs w:val="24"/>
        </w:rPr>
        <w:t>R1-1716231</w:t>
      </w:r>
    </w:p>
    <w:p w:rsidR="00376A5A" w:rsidRPr="000539C0" w:rsidRDefault="00376A5A" w:rsidP="00376A5A">
      <w:pPr>
        <w:pStyle w:val="Header"/>
        <w:rPr>
          <w:rFonts w:cs="Arial"/>
          <w:bCs/>
          <w:sz w:val="24"/>
          <w:szCs w:val="24"/>
          <w:lang w:eastAsia="ja-JP"/>
        </w:rPr>
      </w:pPr>
      <w:r w:rsidRPr="000539C0">
        <w:rPr>
          <w:rFonts w:cs="Arial"/>
          <w:bCs/>
          <w:sz w:val="24"/>
          <w:szCs w:val="24"/>
          <w:lang w:eastAsia="ja-JP"/>
        </w:rPr>
        <w:t>Nagoya</w:t>
      </w:r>
      <w:r w:rsidRPr="000539C0">
        <w:rPr>
          <w:rFonts w:cs="Arial"/>
          <w:bCs/>
          <w:sz w:val="24"/>
          <w:szCs w:val="24"/>
        </w:rPr>
        <w:t xml:space="preserve">, Japan, </w:t>
      </w:r>
      <w:r w:rsidRPr="000539C0">
        <w:rPr>
          <w:rFonts w:cs="Arial"/>
          <w:bCs/>
          <w:sz w:val="24"/>
          <w:szCs w:val="24"/>
          <w:lang w:eastAsia="ja-JP"/>
        </w:rPr>
        <w:t>18</w:t>
      </w:r>
      <w:r w:rsidRPr="000539C0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0539C0">
        <w:rPr>
          <w:rFonts w:cs="Arial" w:hint="eastAsia"/>
          <w:bCs/>
          <w:sz w:val="24"/>
          <w:szCs w:val="24"/>
          <w:lang w:eastAsia="ja-JP"/>
        </w:rPr>
        <w:t xml:space="preserve"> </w:t>
      </w:r>
      <w:r w:rsidRPr="000539C0">
        <w:rPr>
          <w:rFonts w:cs="Arial"/>
          <w:bCs/>
          <w:sz w:val="24"/>
          <w:szCs w:val="24"/>
        </w:rPr>
        <w:t xml:space="preserve">– </w:t>
      </w:r>
      <w:r w:rsidRPr="000539C0">
        <w:rPr>
          <w:rFonts w:cs="Arial" w:hint="eastAsia"/>
          <w:bCs/>
          <w:sz w:val="24"/>
          <w:szCs w:val="24"/>
          <w:lang w:eastAsia="ja-JP"/>
        </w:rPr>
        <w:t>21</w:t>
      </w:r>
      <w:r w:rsidRPr="000539C0">
        <w:rPr>
          <w:rFonts w:cs="Arial" w:hint="eastAsia"/>
          <w:bCs/>
          <w:sz w:val="24"/>
          <w:szCs w:val="24"/>
          <w:vertAlign w:val="superscript"/>
          <w:lang w:eastAsia="ja-JP"/>
        </w:rPr>
        <w:t>st</w:t>
      </w:r>
      <w:r w:rsidRPr="000539C0">
        <w:rPr>
          <w:rFonts w:cs="Arial" w:hint="eastAsia"/>
          <w:bCs/>
          <w:sz w:val="24"/>
          <w:szCs w:val="24"/>
          <w:lang w:eastAsia="ja-JP"/>
        </w:rPr>
        <w:t xml:space="preserve">, </w:t>
      </w:r>
      <w:r w:rsidRPr="000539C0">
        <w:rPr>
          <w:rFonts w:cs="Arial"/>
          <w:bCs/>
          <w:sz w:val="24"/>
          <w:szCs w:val="24"/>
        </w:rPr>
        <w:t>September 201</w:t>
      </w:r>
      <w:r w:rsidRPr="000539C0">
        <w:rPr>
          <w:rFonts w:cs="Arial"/>
          <w:bCs/>
          <w:sz w:val="24"/>
          <w:szCs w:val="24"/>
          <w:lang w:eastAsia="ja-JP"/>
        </w:rPr>
        <w:t>7</w:t>
      </w:r>
    </w:p>
    <w:p w:rsidR="00376A5A" w:rsidRDefault="00376A5A" w:rsidP="00376A5A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8B3C06" w:rsidRDefault="00B96B84" w:rsidP="00B96B84">
      <w:pPr>
        <w:jc w:val="both"/>
        <w:rPr>
          <w:rFonts w:ascii="Calibri" w:hAnsi="Calibri" w:cs="Calibri"/>
          <w:b/>
          <w:sz w:val="28"/>
          <w:szCs w:val="28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CA4B04" w:rsidRPr="008B3C06">
        <w:rPr>
          <w:b/>
          <w:bCs/>
          <w:sz w:val="28"/>
          <w:szCs w:val="28"/>
        </w:rPr>
        <w:t xml:space="preserve">Frequency </w:t>
      </w:r>
      <w:r w:rsidR="002B7898">
        <w:rPr>
          <w:b/>
          <w:bCs/>
          <w:sz w:val="28"/>
          <w:szCs w:val="28"/>
        </w:rPr>
        <w:t xml:space="preserve">hopping </w:t>
      </w:r>
      <w:r w:rsidR="006430B2">
        <w:rPr>
          <w:b/>
          <w:bCs/>
          <w:sz w:val="28"/>
          <w:szCs w:val="28"/>
        </w:rPr>
        <w:t xml:space="preserve">for </w:t>
      </w:r>
      <w:r w:rsidR="00C064B8">
        <w:rPr>
          <w:b/>
          <w:bCs/>
          <w:sz w:val="28"/>
          <w:szCs w:val="28"/>
        </w:rPr>
        <w:t xml:space="preserve">NR </w:t>
      </w:r>
      <w:r w:rsidR="006430B2">
        <w:rPr>
          <w:b/>
          <w:bCs/>
          <w:sz w:val="28"/>
          <w:szCs w:val="28"/>
        </w:rPr>
        <w:t>UL PUSCH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190297">
        <w:rPr>
          <w:b/>
          <w:bCs/>
          <w:sz w:val="24"/>
          <w:szCs w:val="24"/>
          <w:lang w:val="pt-BR"/>
        </w:rPr>
        <w:t>6</w:t>
      </w:r>
      <w:r w:rsidRPr="0068128A">
        <w:rPr>
          <w:b/>
          <w:bCs/>
          <w:sz w:val="24"/>
          <w:szCs w:val="24"/>
          <w:lang w:val="pt-BR"/>
        </w:rPr>
        <w:t>.</w:t>
      </w:r>
      <w:r w:rsidR="00376A5A">
        <w:rPr>
          <w:b/>
          <w:bCs/>
          <w:sz w:val="24"/>
          <w:szCs w:val="24"/>
          <w:lang w:val="pt-BR"/>
        </w:rPr>
        <w:t xml:space="preserve"> 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9B5905">
        <w:rPr>
          <w:b/>
          <w:bCs/>
          <w:sz w:val="24"/>
          <w:szCs w:val="24"/>
          <w:lang w:val="pt-BR"/>
        </w:rPr>
        <w:t>3.7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Default="00D9473B" w:rsidP="00937498">
      <w:pPr>
        <w:spacing w:after="0"/>
        <w:jc w:val="both"/>
        <w:rPr>
          <w:kern w:val="2"/>
          <w:sz w:val="22"/>
          <w:szCs w:val="22"/>
          <w:lang w:val="en-US" w:eastAsia="zh-CN"/>
        </w:rPr>
      </w:pPr>
      <w:bookmarkStart w:id="0" w:name="_GoBack"/>
      <w:bookmarkEnd w:id="0"/>
      <w:r w:rsidRPr="00E41609">
        <w:rPr>
          <w:kern w:val="2"/>
          <w:sz w:val="22"/>
          <w:szCs w:val="22"/>
          <w:lang w:val="en-US" w:eastAsia="zh-CN"/>
        </w:rPr>
        <w:t>In LTE, frequency hopping has been supported for transmissions</w:t>
      </w:r>
      <w:r w:rsidR="00E41609" w:rsidRPr="00E41609">
        <w:rPr>
          <w:kern w:val="2"/>
          <w:sz w:val="22"/>
          <w:szCs w:val="22"/>
          <w:lang w:val="en-US" w:eastAsia="zh-CN"/>
        </w:rPr>
        <w:t xml:space="preserve"> of different channels</w:t>
      </w:r>
      <w:r w:rsidR="00E91A90" w:rsidRPr="00E41609">
        <w:rPr>
          <w:kern w:val="2"/>
          <w:sz w:val="22"/>
          <w:szCs w:val="22"/>
          <w:lang w:val="en-US" w:eastAsia="zh-CN"/>
        </w:rPr>
        <w:t xml:space="preserve">, more specifically for </w:t>
      </w:r>
      <w:proofErr w:type="spellStart"/>
      <w:r w:rsidR="00D038E3">
        <w:rPr>
          <w:kern w:val="2"/>
          <w:sz w:val="22"/>
          <w:szCs w:val="22"/>
          <w:lang w:val="en-US" w:eastAsia="zh-CN"/>
        </w:rPr>
        <w:t>e</w:t>
      </w:r>
      <w:r w:rsidR="00E91A90" w:rsidRPr="00E41609">
        <w:rPr>
          <w:kern w:val="2"/>
          <w:sz w:val="22"/>
          <w:szCs w:val="22"/>
          <w:lang w:val="en-US" w:eastAsia="zh-CN"/>
        </w:rPr>
        <w:t>MTC</w:t>
      </w:r>
      <w:proofErr w:type="spellEnd"/>
      <w:r w:rsidR="00E91A90" w:rsidRPr="00E41609">
        <w:rPr>
          <w:kern w:val="2"/>
          <w:sz w:val="22"/>
          <w:szCs w:val="22"/>
          <w:lang w:val="en-US" w:eastAsia="zh-CN"/>
        </w:rPr>
        <w:t xml:space="preserve"> narrowband hopping</w:t>
      </w:r>
      <w:r w:rsidRPr="00E41609">
        <w:rPr>
          <w:kern w:val="2"/>
          <w:sz w:val="22"/>
          <w:szCs w:val="22"/>
          <w:lang w:val="en-US" w:eastAsia="zh-CN"/>
        </w:rPr>
        <w:t xml:space="preserve">. </w:t>
      </w:r>
      <w:r w:rsidR="00D038E3">
        <w:rPr>
          <w:kern w:val="2"/>
          <w:sz w:val="22"/>
          <w:szCs w:val="22"/>
          <w:lang w:val="en-US" w:eastAsia="zh-CN"/>
        </w:rPr>
        <w:t>In similar fashion</w:t>
      </w:r>
      <w:r w:rsidR="00E41609" w:rsidRPr="00E41609">
        <w:rPr>
          <w:kern w:val="2"/>
          <w:sz w:val="22"/>
          <w:szCs w:val="22"/>
          <w:lang w:val="en-US" w:eastAsia="zh-CN"/>
        </w:rPr>
        <w:t>, NR should support frequency ho</w:t>
      </w:r>
      <w:r w:rsidR="00D038E3">
        <w:rPr>
          <w:kern w:val="2"/>
          <w:sz w:val="22"/>
          <w:szCs w:val="22"/>
          <w:lang w:val="en-US" w:eastAsia="zh-CN"/>
        </w:rPr>
        <w:t>pping at least for PUSCH transmission</w:t>
      </w:r>
      <w:r w:rsidR="0042044D">
        <w:rPr>
          <w:kern w:val="2"/>
          <w:sz w:val="22"/>
          <w:szCs w:val="22"/>
          <w:lang w:val="en-US" w:eastAsia="zh-CN"/>
        </w:rPr>
        <w:t xml:space="preserve"> in Rel-15</w:t>
      </w:r>
      <w:r w:rsidR="00D038E3">
        <w:rPr>
          <w:kern w:val="2"/>
          <w:sz w:val="22"/>
          <w:szCs w:val="22"/>
          <w:lang w:val="en-US" w:eastAsia="zh-CN"/>
        </w:rPr>
        <w:t>.</w:t>
      </w:r>
      <w:r w:rsidR="008F4DBD">
        <w:rPr>
          <w:kern w:val="2"/>
          <w:sz w:val="22"/>
          <w:szCs w:val="22"/>
          <w:lang w:val="en-US" w:eastAsia="zh-CN"/>
        </w:rPr>
        <w:t xml:space="preserve"> So far RAN1 agreed the followings:</w:t>
      </w:r>
    </w:p>
    <w:p w:rsidR="008F4DBD" w:rsidRPr="008F4DBD" w:rsidRDefault="008F4DBD" w:rsidP="008F4DBD">
      <w:pPr>
        <w:spacing w:after="0"/>
        <w:rPr>
          <w:b/>
          <w:szCs w:val="24"/>
          <w:u w:val="single"/>
          <w:lang w:eastAsia="ja-JP"/>
        </w:rPr>
      </w:pPr>
      <w:r w:rsidRPr="008F4DBD">
        <w:rPr>
          <w:b/>
          <w:szCs w:val="24"/>
          <w:highlight w:val="green"/>
          <w:u w:val="single"/>
          <w:lang w:eastAsia="ja-JP"/>
        </w:rPr>
        <w:t>Agreements:</w:t>
      </w:r>
    </w:p>
    <w:p w:rsidR="008F4DBD" w:rsidRPr="008F4DBD" w:rsidRDefault="008F4DBD" w:rsidP="008F4DBD">
      <w:pPr>
        <w:numPr>
          <w:ilvl w:val="0"/>
          <w:numId w:val="34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For DFT-s-OFDM based NR-PUSCH transmission, contiguous RB allocation with/without frequency hopping are supported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At least intra-slot frequency hopping is supported for 14 symbol slot case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resource allocation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frequency hopping for PUSCH</w:t>
      </w:r>
    </w:p>
    <w:p w:rsidR="008F4DBD" w:rsidRPr="00E41609" w:rsidRDefault="008F4DBD" w:rsidP="00937498">
      <w:pPr>
        <w:spacing w:after="0"/>
        <w:jc w:val="both"/>
        <w:rPr>
          <w:sz w:val="22"/>
          <w:szCs w:val="22"/>
        </w:rPr>
      </w:pPr>
    </w:p>
    <w:p w:rsidR="00710AC9" w:rsidRPr="00E41609" w:rsidRDefault="00D038E3" w:rsidP="00937498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</w:rPr>
        <w:t>I</w:t>
      </w:r>
      <w:r w:rsidR="00D23385" w:rsidRPr="00E41609">
        <w:rPr>
          <w:sz w:val="22"/>
          <w:szCs w:val="22"/>
        </w:rPr>
        <w:t>n</w:t>
      </w:r>
      <w:r w:rsidR="00710AC9" w:rsidRPr="00E41609">
        <w:rPr>
          <w:bCs/>
          <w:sz w:val="22"/>
          <w:szCs w:val="22"/>
          <w:lang w:val="en-US"/>
        </w:rPr>
        <w:t xml:space="preserve"> this contribution, we discuss the design of frequency hopping</w:t>
      </w:r>
      <w:r w:rsidR="006C4A9A" w:rsidRPr="00E41609">
        <w:rPr>
          <w:bCs/>
          <w:sz w:val="22"/>
          <w:szCs w:val="22"/>
          <w:lang w:val="en-US"/>
        </w:rPr>
        <w:t xml:space="preserve"> scheme</w:t>
      </w:r>
      <w:r w:rsidR="00AC0F69" w:rsidRPr="00E41609">
        <w:rPr>
          <w:bCs/>
          <w:sz w:val="22"/>
          <w:szCs w:val="22"/>
          <w:lang w:val="en-US"/>
        </w:rPr>
        <w:t>s</w:t>
      </w:r>
      <w:r w:rsidR="00710AC9" w:rsidRPr="00E41609">
        <w:rPr>
          <w:bCs/>
          <w:sz w:val="22"/>
          <w:szCs w:val="22"/>
          <w:lang w:val="en-US"/>
        </w:rPr>
        <w:t xml:space="preserve"> tailored for </w:t>
      </w:r>
      <w:r>
        <w:rPr>
          <w:bCs/>
          <w:sz w:val="22"/>
          <w:szCs w:val="22"/>
          <w:lang w:eastAsia="ja-JP"/>
        </w:rPr>
        <w:t xml:space="preserve">uplink PUSCH transmission </w:t>
      </w:r>
      <w:r w:rsidR="0042044D">
        <w:rPr>
          <w:bCs/>
          <w:sz w:val="22"/>
          <w:szCs w:val="22"/>
          <w:lang w:eastAsia="ja-JP"/>
        </w:rPr>
        <w:t xml:space="preserve">in NR </w:t>
      </w:r>
      <w:r w:rsidR="00711907">
        <w:rPr>
          <w:bCs/>
          <w:sz w:val="22"/>
          <w:szCs w:val="22"/>
          <w:lang w:eastAsia="ja-JP"/>
        </w:rPr>
        <w:t>(</w:t>
      </w:r>
      <w:r w:rsidR="00711907" w:rsidRPr="008F4DBD">
        <w:rPr>
          <w:szCs w:val="24"/>
          <w:lang w:val="en-US" w:eastAsia="ja-JP"/>
        </w:rPr>
        <w:t>DFT-s-</w:t>
      </w:r>
      <w:r w:rsidR="00711907">
        <w:rPr>
          <w:szCs w:val="24"/>
          <w:lang w:val="en-US" w:eastAsia="ja-JP"/>
        </w:rPr>
        <w:t xml:space="preserve">OFDM waveform) </w:t>
      </w:r>
      <w:r w:rsidR="00710AC9" w:rsidRPr="00E41609">
        <w:rPr>
          <w:bCs/>
          <w:sz w:val="22"/>
          <w:szCs w:val="22"/>
          <w:lang w:eastAsia="ja-JP"/>
        </w:rPr>
        <w:t>and provide some proposals at the end.</w:t>
      </w:r>
    </w:p>
    <w:p w:rsidR="00710AC9" w:rsidRPr="002D7808" w:rsidRDefault="00710AC9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2002A" w:rsidRPr="0022002A" w:rsidRDefault="00710AC9" w:rsidP="0022002A">
      <w:pPr>
        <w:pStyle w:val="Heading1"/>
        <w:rPr>
          <w:rFonts w:ascii="Times New Roman" w:hAnsi="Times New Roman"/>
          <w:b/>
          <w:lang w:eastAsia="ja-JP"/>
        </w:rPr>
      </w:pPr>
      <w:r w:rsidRPr="0022002A">
        <w:rPr>
          <w:rFonts w:ascii="Times New Roman" w:hAnsi="Times New Roman"/>
          <w:b/>
          <w:lang w:eastAsia="ja-JP"/>
        </w:rPr>
        <w:t xml:space="preserve">Requirements for Frequency hopping </w:t>
      </w:r>
      <w:r w:rsidR="0022002A" w:rsidRPr="0022002A">
        <w:rPr>
          <w:rFonts w:ascii="Times New Roman" w:hAnsi="Times New Roman"/>
          <w:b/>
          <w:lang w:eastAsia="ja-JP"/>
        </w:rPr>
        <w:t xml:space="preserve">design </w:t>
      </w:r>
    </w:p>
    <w:p w:rsidR="00DA69A4" w:rsidRDefault="0022002A" w:rsidP="00DA69A4">
      <w:pPr>
        <w:jc w:val="both"/>
        <w:rPr>
          <w:sz w:val="22"/>
          <w:szCs w:val="22"/>
          <w:lang w:eastAsia="ja-JP"/>
        </w:rPr>
      </w:pPr>
      <w:r w:rsidRPr="00767DA5">
        <w:rPr>
          <w:sz w:val="22"/>
          <w:szCs w:val="22"/>
          <w:lang w:eastAsia="ja-JP"/>
        </w:rPr>
        <w:t xml:space="preserve">It is well-known that frequency hopping provides service quality improvement through interference averaging and frequency diversity. Therefore, in order to </w:t>
      </w:r>
      <w:r w:rsidRPr="00767DA5">
        <w:rPr>
          <w:color w:val="000000"/>
          <w:sz w:val="22"/>
          <w:szCs w:val="22"/>
          <w:lang w:eastAsia="ja-JP"/>
        </w:rPr>
        <w:t xml:space="preserve">deal with the persistent interference as well as reducing the amount of retransmissions or repetitions for grant free (GF) case, frequency hopping should be considered for </w:t>
      </w:r>
      <w:r w:rsidRPr="00767DA5">
        <w:rPr>
          <w:sz w:val="22"/>
          <w:szCs w:val="22"/>
          <w:lang w:eastAsia="ja-JP"/>
        </w:rPr>
        <w:t>NR.</w:t>
      </w:r>
    </w:p>
    <w:p w:rsidR="0022002A" w:rsidRPr="00E14B43" w:rsidRDefault="0022002A" w:rsidP="0022002A">
      <w:pPr>
        <w:rPr>
          <w:sz w:val="22"/>
          <w:szCs w:val="22"/>
        </w:rPr>
      </w:pPr>
      <w:r w:rsidRPr="00E14B43">
        <w:rPr>
          <w:sz w:val="22"/>
          <w:szCs w:val="22"/>
          <w:lang w:eastAsia="ja-JP"/>
        </w:rPr>
        <w:t>The following requirements are applicable to the NR system</w:t>
      </w:r>
      <w:r w:rsidRPr="00E14B43">
        <w:rPr>
          <w:sz w:val="22"/>
          <w:szCs w:val="22"/>
        </w:rPr>
        <w:t>: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No collision between hopping UEs in the same cell. 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Different hopping patterns in neighbouring cells to reduce inter-cell interference.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High degree of frequency diversity for one UE throughout hopping pattern for the subsequent retransmissions or repetitions.</w:t>
      </w:r>
    </w:p>
    <w:p w:rsid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Preserve the </w:t>
      </w:r>
      <w:r w:rsidR="006A6304">
        <w:rPr>
          <w:sz w:val="22"/>
          <w:szCs w:val="22"/>
        </w:rPr>
        <w:t>single carrier property of the localised SC</w:t>
      </w:r>
      <w:r w:rsidRPr="00E14B43">
        <w:rPr>
          <w:sz w:val="22"/>
          <w:szCs w:val="22"/>
        </w:rPr>
        <w:t>-FDMA</w:t>
      </w:r>
    </w:p>
    <w:p w:rsidR="0022002A" w:rsidRP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3361D2">
        <w:rPr>
          <w:sz w:val="22"/>
          <w:szCs w:val="22"/>
        </w:rPr>
        <w:t>Signalling overhead for informing UEs of a specific or common hopping sequence should be kept as small as possible.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Frequency hopping should be designed for small sized packets intended to persistent scheduled UEs</w:t>
      </w:r>
      <w:r w:rsidR="00E36F6F">
        <w:rPr>
          <w:sz w:val="22"/>
          <w:szCs w:val="22"/>
        </w:rPr>
        <w:t xml:space="preserve"> </w:t>
      </w:r>
      <w:r w:rsidR="00E36F6F" w:rsidRPr="00E14B43">
        <w:rPr>
          <w:sz w:val="22"/>
          <w:szCs w:val="22"/>
        </w:rPr>
        <w:t>(e.g. VoIP service)</w:t>
      </w:r>
      <w:r w:rsidR="00E36F6F">
        <w:rPr>
          <w:sz w:val="22"/>
          <w:szCs w:val="22"/>
        </w:rPr>
        <w:t xml:space="preserve">, grant free transmissions </w:t>
      </w:r>
      <w:r w:rsidRPr="00E14B43">
        <w:rPr>
          <w:sz w:val="22"/>
          <w:szCs w:val="22"/>
        </w:rPr>
        <w:t xml:space="preserve">as well as high speed UEs. </w:t>
      </w:r>
    </w:p>
    <w:p w:rsidR="0022002A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It should be possible to enable or disable the </w:t>
      </w:r>
      <w:r w:rsidRPr="00E14B43">
        <w:rPr>
          <w:sz w:val="22"/>
          <w:szCs w:val="22"/>
          <w:lang w:eastAsia="ja-JP"/>
        </w:rPr>
        <w:t xml:space="preserve">frequency hopping for a given </w:t>
      </w:r>
      <w:r w:rsidRPr="00E14B43">
        <w:rPr>
          <w:sz w:val="22"/>
          <w:szCs w:val="22"/>
        </w:rPr>
        <w:t>UE</w:t>
      </w:r>
    </w:p>
    <w:p w:rsidR="0022002A" w:rsidRPr="00E14B43" w:rsidRDefault="0022002A" w:rsidP="0022002A">
      <w:pPr>
        <w:spacing w:after="120" w:line="320" w:lineRule="atLeast"/>
        <w:jc w:val="both"/>
        <w:rPr>
          <w:sz w:val="22"/>
          <w:szCs w:val="22"/>
        </w:rPr>
      </w:pPr>
    </w:p>
    <w:p w:rsidR="00E14B43" w:rsidRPr="0022002A" w:rsidRDefault="00E14B43" w:rsidP="0022002A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t>Frequency hopping scheme</w:t>
      </w:r>
      <w:r w:rsidR="005061A9">
        <w:rPr>
          <w:rFonts w:ascii="Times New Roman" w:hAnsi="Times New Roman"/>
          <w:b/>
          <w:lang w:val="en-US" w:eastAsia="ja-JP"/>
        </w:rPr>
        <w:t xml:space="preserve"> </w:t>
      </w:r>
    </w:p>
    <w:p w:rsidR="00E843A1" w:rsidRDefault="00E843A1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r w:rsidR="00604D05">
        <w:rPr>
          <w:sz w:val="22"/>
          <w:szCs w:val="22"/>
        </w:rPr>
        <w:t>describe</w:t>
      </w:r>
      <w:r>
        <w:rPr>
          <w:sz w:val="22"/>
          <w:szCs w:val="22"/>
        </w:rPr>
        <w:t xml:space="preserve"> a frequency hopping scheme </w:t>
      </w:r>
      <w:r w:rsidR="00305250">
        <w:rPr>
          <w:sz w:val="22"/>
          <w:szCs w:val="22"/>
        </w:rPr>
        <w:t xml:space="preserve">for NR which is </w:t>
      </w: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narrowband hopping.</w:t>
      </w:r>
    </w:p>
    <w:p w:rsidR="00A1412D" w:rsidRDefault="00E14B43" w:rsidP="00DA69A4">
      <w:pPr>
        <w:jc w:val="both"/>
        <w:rPr>
          <w:sz w:val="22"/>
          <w:szCs w:val="22"/>
        </w:rPr>
      </w:pPr>
      <w:r w:rsidRPr="00940DE5">
        <w:rPr>
          <w:sz w:val="22"/>
          <w:szCs w:val="22"/>
        </w:rPr>
        <w:lastRenderedPageBreak/>
        <w:t xml:space="preserve">Let </w:t>
      </w:r>
      <w:r w:rsidR="00152249" w:rsidRPr="00940DE5">
        <w:rPr>
          <w:position w:val="-10"/>
          <w:sz w:val="22"/>
          <w:szCs w:val="2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5pt;height:18.35pt" o:ole="">
            <v:imagedata r:id="rId8" o:title=""/>
          </v:shape>
          <o:OLEObject Type="Embed" ProgID="Equation.3" ShapeID="_x0000_i1025" DrawAspect="Content" ObjectID="_1566398889" r:id="rId9"/>
        </w:object>
      </w:r>
      <w:r w:rsidRPr="00940DE5">
        <w:rPr>
          <w:sz w:val="22"/>
          <w:szCs w:val="22"/>
        </w:rPr>
        <w:t xml:space="preserve"> be the total number of Resource Blocks (RBs) in </w:t>
      </w:r>
      <w:r w:rsidR="00FA296B">
        <w:rPr>
          <w:sz w:val="22"/>
          <w:szCs w:val="22"/>
        </w:rPr>
        <w:t>a bandwidth part</w:t>
      </w:r>
      <w:r w:rsidR="00195E2B">
        <w:rPr>
          <w:sz w:val="22"/>
          <w:szCs w:val="22"/>
        </w:rPr>
        <w:t xml:space="preserve"> </w:t>
      </w:r>
      <w:r w:rsidR="00195E2B" w:rsidRPr="00CF73A3">
        <w:rPr>
          <w:sz w:val="22"/>
          <w:szCs w:val="22"/>
          <w:lang w:eastAsia="ja-JP"/>
        </w:rPr>
        <w:t>for a given subcarrier spacing</w:t>
      </w:r>
      <w:r w:rsidRPr="00940DE5">
        <w:rPr>
          <w:sz w:val="22"/>
          <w:szCs w:val="22"/>
        </w:rPr>
        <w:t xml:space="preserve">. Let the bandwidth </w:t>
      </w:r>
      <w:r w:rsidR="00FA296B">
        <w:rPr>
          <w:sz w:val="22"/>
          <w:szCs w:val="22"/>
        </w:rPr>
        <w:t xml:space="preserve">part </w:t>
      </w:r>
      <w:r w:rsidRPr="00940DE5">
        <w:rPr>
          <w:sz w:val="22"/>
          <w:szCs w:val="22"/>
        </w:rPr>
        <w:t>be divided into</w:t>
      </w:r>
      <w:r w:rsidR="00F10F0D" w:rsidRPr="005933A0">
        <w:rPr>
          <w:position w:val="-12"/>
          <w:sz w:val="22"/>
          <w:szCs w:val="22"/>
        </w:rPr>
        <w:object w:dxaOrig="480" w:dyaOrig="380">
          <v:shape id="_x0000_i1026" type="#_x0000_t75" style="width:24.35pt;height:19.35pt" o:ole="">
            <v:imagedata r:id="rId10" o:title=""/>
          </v:shape>
          <o:OLEObject Type="Embed" ProgID="Equation.3" ShapeID="_x0000_i1026" DrawAspect="Content" ObjectID="_1566398890" r:id="rId11"/>
        </w:object>
      </w:r>
      <w:proofErr w:type="spellStart"/>
      <w:r w:rsidR="00216184">
        <w:rPr>
          <w:sz w:val="22"/>
          <w:szCs w:val="22"/>
        </w:rPr>
        <w:t>narrow</w:t>
      </w:r>
      <w:r w:rsidR="004A0B49" w:rsidRPr="00940DE5">
        <w:rPr>
          <w:sz w:val="22"/>
          <w:szCs w:val="22"/>
        </w:rPr>
        <w:t>bands</w:t>
      </w:r>
      <w:proofErr w:type="spellEnd"/>
      <w:r w:rsidR="004A0B49" w:rsidRPr="00940DE5">
        <w:rPr>
          <w:sz w:val="22"/>
          <w:szCs w:val="22"/>
        </w:rPr>
        <w:t xml:space="preserve"> </w:t>
      </w:r>
      <w:r w:rsidR="00E027AA">
        <w:rPr>
          <w:sz w:val="22"/>
          <w:szCs w:val="22"/>
        </w:rPr>
        <w:t>as</w:t>
      </w:r>
      <w:r w:rsidR="00195E2B" w:rsidRPr="00940DE5">
        <w:rPr>
          <w:position w:val="-32"/>
          <w:sz w:val="22"/>
          <w:szCs w:val="22"/>
        </w:rPr>
        <w:object w:dxaOrig="1380" w:dyaOrig="760">
          <v:shape id="_x0000_i1027" type="#_x0000_t75" style="width:68.35pt;height:37.65pt" o:ole="">
            <v:imagedata r:id="rId12" o:title=""/>
          </v:shape>
          <o:OLEObject Type="Embed" ProgID="Equation.3" ShapeID="_x0000_i1027" DrawAspect="Content" ObjectID="_1566398891" r:id="rId13"/>
        </w:object>
      </w:r>
      <w:r w:rsidR="004A0B49" w:rsidRPr="00940DE5">
        <w:rPr>
          <w:sz w:val="22"/>
          <w:szCs w:val="22"/>
        </w:rPr>
        <w:t xml:space="preserve">. </w:t>
      </w:r>
      <w:r w:rsidR="000C2CAF" w:rsidRPr="00940DE5">
        <w:rPr>
          <w:sz w:val="22"/>
          <w:szCs w:val="22"/>
        </w:rPr>
        <w:t xml:space="preserve">In order to align the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0C2CAF" w:rsidRPr="00940DE5">
        <w:rPr>
          <w:sz w:val="22"/>
          <w:szCs w:val="22"/>
        </w:rPr>
        <w:t xml:space="preserve"> with the </w:t>
      </w:r>
      <w:r w:rsidR="00E1644F">
        <w:rPr>
          <w:sz w:val="22"/>
          <w:szCs w:val="22"/>
        </w:rPr>
        <w:t>resource block group (</w:t>
      </w:r>
      <w:r w:rsidR="000C2CAF" w:rsidRPr="00940DE5">
        <w:rPr>
          <w:sz w:val="22"/>
          <w:szCs w:val="22"/>
        </w:rPr>
        <w:t>RBG</w:t>
      </w:r>
      <w:r w:rsidR="00E1644F">
        <w:rPr>
          <w:sz w:val="22"/>
          <w:szCs w:val="22"/>
        </w:rPr>
        <w:t>)</w:t>
      </w:r>
      <w:r w:rsidR="000C2CAF" w:rsidRPr="00940DE5">
        <w:rPr>
          <w:sz w:val="22"/>
          <w:szCs w:val="22"/>
        </w:rPr>
        <w:t xml:space="preserve"> sizes, it is desirable </w:t>
      </w:r>
      <w:r w:rsidR="00713CA0" w:rsidRPr="00940DE5">
        <w:rPr>
          <w:sz w:val="22"/>
          <w:szCs w:val="22"/>
        </w:rPr>
        <w:t>that</w:t>
      </w:r>
      <w:r w:rsidR="00A1412D" w:rsidRPr="00A1412D">
        <w:rPr>
          <w:position w:val="-10"/>
          <w:sz w:val="22"/>
          <w:szCs w:val="22"/>
        </w:rPr>
        <w:object w:dxaOrig="700" w:dyaOrig="320">
          <v:shape id="_x0000_i1028" type="#_x0000_t75" style="width:35pt;height:16.35pt" o:ole="">
            <v:imagedata r:id="rId14" o:title=""/>
          </v:shape>
          <o:OLEObject Type="Embed" ProgID="Equation.3" ShapeID="_x0000_i1028" DrawAspect="Content" ObjectID="_1566398892" r:id="rId15"/>
        </w:object>
      </w:r>
      <w:r w:rsidR="00A1412D">
        <w:rPr>
          <w:sz w:val="22"/>
          <w:szCs w:val="22"/>
        </w:rPr>
        <w:t xml:space="preserve">. </w:t>
      </w:r>
    </w:p>
    <w:p w:rsidR="00DA69A4" w:rsidRDefault="00DA69A4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, we propose that the PUSCH frequency hopping is only between two narrowbands where the </w:t>
      </w:r>
      <w:r w:rsidRPr="00905391">
        <w:rPr>
          <w:sz w:val="22"/>
          <w:szCs w:val="22"/>
        </w:rPr>
        <w:t>DCI</w:t>
      </w:r>
      <w:r>
        <w:rPr>
          <w:sz w:val="22"/>
          <w:szCs w:val="22"/>
        </w:rPr>
        <w:t xml:space="preserve"> indicates the </w:t>
      </w:r>
      <w:r w:rsidRPr="00E93901">
        <w:rPr>
          <w:i/>
          <w:sz w:val="22"/>
          <w:szCs w:val="22"/>
        </w:rPr>
        <w:t xml:space="preserve">first narrowband </w:t>
      </w:r>
      <w:r w:rsidR="00E843A1" w:rsidRPr="00E93901">
        <w:rPr>
          <w:i/>
          <w:sz w:val="22"/>
          <w:szCs w:val="22"/>
        </w:rPr>
        <w:t>(NB)</w:t>
      </w:r>
      <w:r w:rsidR="00E843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A21629">
        <w:rPr>
          <w:sz w:val="22"/>
          <w:szCs w:val="22"/>
        </w:rPr>
        <w:t xml:space="preserve">a number of </w:t>
      </w:r>
      <w:r w:rsidRPr="00E93901">
        <w:rPr>
          <w:i/>
          <w:sz w:val="22"/>
          <w:szCs w:val="22"/>
        </w:rPr>
        <w:t xml:space="preserve">contiguous </w:t>
      </w:r>
      <w:r w:rsidR="00A21629" w:rsidRPr="00E93901">
        <w:rPr>
          <w:i/>
          <w:sz w:val="22"/>
          <w:szCs w:val="22"/>
        </w:rPr>
        <w:t>PRB resources</w:t>
      </w:r>
      <w:r>
        <w:rPr>
          <w:sz w:val="22"/>
          <w:szCs w:val="22"/>
        </w:rPr>
        <w:t xml:space="preserve"> within the </w:t>
      </w:r>
      <w:r w:rsidR="00A21629">
        <w:rPr>
          <w:sz w:val="22"/>
          <w:szCs w:val="22"/>
        </w:rPr>
        <w:t xml:space="preserve">indicated </w:t>
      </w:r>
      <w:r>
        <w:rPr>
          <w:sz w:val="22"/>
          <w:szCs w:val="22"/>
        </w:rPr>
        <w:t xml:space="preserve">narrowband. The </w:t>
      </w:r>
      <w:r w:rsidRPr="00E93901">
        <w:rPr>
          <w:i/>
          <w:sz w:val="22"/>
          <w:szCs w:val="22"/>
        </w:rPr>
        <w:t>second narrowband</w:t>
      </w:r>
      <w:r>
        <w:rPr>
          <w:sz w:val="22"/>
          <w:szCs w:val="22"/>
        </w:rPr>
        <w:t xml:space="preserve"> is determined from an offset </w:t>
      </w:r>
      <w:r w:rsidR="00B00D2D" w:rsidRPr="00B00D2D">
        <w:rPr>
          <w:sz w:val="22"/>
          <w:szCs w:val="22"/>
        </w:rPr>
        <w:t>starting</w:t>
      </w:r>
      <w:r>
        <w:rPr>
          <w:sz w:val="22"/>
          <w:szCs w:val="22"/>
        </w:rPr>
        <w:t xml:space="preserve"> the </w:t>
      </w:r>
      <w:r w:rsidR="005061A9">
        <w:rPr>
          <w:sz w:val="22"/>
          <w:szCs w:val="22"/>
        </w:rPr>
        <w:t>first narrowband where this</w:t>
      </w:r>
      <w:r>
        <w:rPr>
          <w:sz w:val="22"/>
          <w:szCs w:val="22"/>
        </w:rPr>
        <w:t xml:space="preserve"> </w:t>
      </w:r>
      <w:r w:rsidRPr="00E93901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 is cell-specific and configurable. </w:t>
      </w:r>
      <w:r w:rsidR="00AC0F4B">
        <w:rPr>
          <w:sz w:val="22"/>
          <w:szCs w:val="22"/>
        </w:rPr>
        <w:t xml:space="preserve">Other parameters that need to be specified include a </w:t>
      </w:r>
      <w:r w:rsidR="00195BB3">
        <w:rPr>
          <w:sz w:val="22"/>
          <w:szCs w:val="22"/>
        </w:rPr>
        <w:t xml:space="preserve">small number of </w:t>
      </w:r>
      <w:r w:rsidR="00195BB3" w:rsidRPr="00E93901">
        <w:rPr>
          <w:i/>
          <w:sz w:val="22"/>
          <w:szCs w:val="22"/>
        </w:rPr>
        <w:t>time-domain repetitions</w:t>
      </w:r>
      <w:r w:rsidR="00195BB3">
        <w:rPr>
          <w:sz w:val="22"/>
          <w:szCs w:val="22"/>
        </w:rPr>
        <w:t xml:space="preserve"> </w:t>
      </w:r>
      <w:r w:rsidR="00B51C3F">
        <w:rPr>
          <w:sz w:val="22"/>
          <w:szCs w:val="22"/>
        </w:rPr>
        <w:t xml:space="preserve">or multi-slot scheduling </w:t>
      </w:r>
      <w:r w:rsidR="00592D46">
        <w:rPr>
          <w:sz w:val="22"/>
          <w:szCs w:val="22"/>
        </w:rPr>
        <w:t xml:space="preserve">for example {1, 2, 4, 8, 16}, and </w:t>
      </w:r>
      <w:r w:rsidR="00AC0F4B" w:rsidRPr="00E93901">
        <w:rPr>
          <w:i/>
          <w:sz w:val="22"/>
          <w:szCs w:val="22"/>
        </w:rPr>
        <w:t>frequency hopping interval</w:t>
      </w:r>
      <w:r w:rsidR="00592D46" w:rsidRPr="00E93901">
        <w:rPr>
          <w:i/>
          <w:sz w:val="22"/>
          <w:szCs w:val="22"/>
        </w:rPr>
        <w:t>s</w:t>
      </w:r>
      <w:r w:rsidR="00AC0F4B">
        <w:rPr>
          <w:sz w:val="22"/>
          <w:szCs w:val="22"/>
        </w:rPr>
        <w:t xml:space="preserve"> </w:t>
      </w:r>
      <w:r w:rsidR="00195BB3">
        <w:rPr>
          <w:sz w:val="22"/>
          <w:szCs w:val="22"/>
        </w:rPr>
        <w:t xml:space="preserve">such as </w:t>
      </w:r>
      <w:r w:rsidR="00AC0F4B">
        <w:rPr>
          <w:sz w:val="22"/>
          <w:szCs w:val="22"/>
        </w:rPr>
        <w:t>{1, 2, 4, 8</w:t>
      </w:r>
      <w:r w:rsidR="00195BB3">
        <w:rPr>
          <w:sz w:val="22"/>
          <w:szCs w:val="22"/>
        </w:rPr>
        <w:t xml:space="preserve">} </w:t>
      </w:r>
      <w:r w:rsidR="007E6A4B">
        <w:rPr>
          <w:sz w:val="22"/>
          <w:szCs w:val="22"/>
        </w:rPr>
        <w:t xml:space="preserve">where </w:t>
      </w:r>
      <w:r w:rsidR="00FA296B">
        <w:rPr>
          <w:sz w:val="22"/>
          <w:szCs w:val="22"/>
        </w:rPr>
        <w:t>1</w:t>
      </w:r>
      <w:r w:rsidR="007E6A4B">
        <w:rPr>
          <w:sz w:val="22"/>
          <w:szCs w:val="22"/>
        </w:rPr>
        <w:t xml:space="preserve"> means that the </w:t>
      </w:r>
      <w:r w:rsidR="001378C6">
        <w:rPr>
          <w:sz w:val="22"/>
          <w:szCs w:val="22"/>
        </w:rPr>
        <w:t xml:space="preserve">frequency hopping </w:t>
      </w:r>
      <w:r w:rsidR="00DC2542">
        <w:rPr>
          <w:sz w:val="22"/>
          <w:szCs w:val="22"/>
        </w:rPr>
        <w:t xml:space="preserve">pattern </w:t>
      </w:r>
      <w:r w:rsidR="007E6A4B">
        <w:rPr>
          <w:sz w:val="22"/>
          <w:szCs w:val="22"/>
        </w:rPr>
        <w:t>changes in every slot in time domain</w:t>
      </w:r>
      <w:r w:rsidR="007C1F57">
        <w:rPr>
          <w:sz w:val="22"/>
          <w:szCs w:val="22"/>
        </w:rPr>
        <w:t xml:space="preserve"> as shown on Figure 1 below</w:t>
      </w:r>
      <w:r w:rsidR="007E6A4B">
        <w:rPr>
          <w:sz w:val="22"/>
          <w:szCs w:val="22"/>
        </w:rPr>
        <w:t>.</w:t>
      </w:r>
      <w:r w:rsidR="00BE0BC4">
        <w:rPr>
          <w:sz w:val="22"/>
          <w:szCs w:val="22"/>
        </w:rPr>
        <w:t xml:space="preserve"> The frequency hopping pattern cycles through the first and second narrowbands </w:t>
      </w:r>
      <w:r w:rsidR="00282A14">
        <w:rPr>
          <w:sz w:val="22"/>
          <w:szCs w:val="22"/>
        </w:rPr>
        <w:t>respectively</w:t>
      </w:r>
      <w:r w:rsidR="00BE0BC4">
        <w:rPr>
          <w:sz w:val="22"/>
          <w:szCs w:val="22"/>
        </w:rPr>
        <w:t>.</w:t>
      </w:r>
    </w:p>
    <w:p w:rsidR="00D812CD" w:rsidRDefault="00D812CD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NR, frequency hopping should be enabled </w:t>
      </w:r>
      <w:r w:rsidR="004B1070">
        <w:rPr>
          <w:sz w:val="22"/>
          <w:szCs w:val="22"/>
        </w:rPr>
        <w:t>or d</w:t>
      </w:r>
      <w:r w:rsidR="002C71C8">
        <w:rPr>
          <w:sz w:val="22"/>
          <w:szCs w:val="22"/>
        </w:rPr>
        <w:t>is</w:t>
      </w:r>
      <w:r w:rsidR="004B1070">
        <w:rPr>
          <w:sz w:val="22"/>
          <w:szCs w:val="22"/>
        </w:rPr>
        <w:t xml:space="preserve">abled </w:t>
      </w:r>
      <w:r>
        <w:rPr>
          <w:sz w:val="22"/>
          <w:szCs w:val="22"/>
        </w:rPr>
        <w:t xml:space="preserve">by a </w:t>
      </w:r>
      <w:r w:rsidRPr="007158D4">
        <w:rPr>
          <w:i/>
          <w:sz w:val="22"/>
          <w:szCs w:val="22"/>
        </w:rPr>
        <w:t>flag</w:t>
      </w:r>
      <w:r>
        <w:rPr>
          <w:sz w:val="22"/>
          <w:szCs w:val="22"/>
        </w:rPr>
        <w:t xml:space="preserve"> in the DCI format or in case of grant free (GF) transmission </w:t>
      </w:r>
      <w:r w:rsidR="002C71C8">
        <w:rPr>
          <w:sz w:val="22"/>
          <w:szCs w:val="22"/>
        </w:rPr>
        <w:t xml:space="preserve">all these parameters such as </w:t>
      </w:r>
      <w:r w:rsidR="002C71C8" w:rsidRPr="007158D4">
        <w:rPr>
          <w:i/>
          <w:sz w:val="22"/>
          <w:szCs w:val="22"/>
        </w:rPr>
        <w:t>enabling</w:t>
      </w:r>
      <w:r w:rsidR="002C71C8">
        <w:rPr>
          <w:sz w:val="22"/>
          <w:szCs w:val="22"/>
        </w:rPr>
        <w:t xml:space="preserve">, </w:t>
      </w:r>
      <w:r w:rsidR="002C71C8" w:rsidRPr="007158D4">
        <w:rPr>
          <w:i/>
          <w:sz w:val="22"/>
          <w:szCs w:val="22"/>
        </w:rPr>
        <w:t>first narrowband</w:t>
      </w:r>
      <w:r w:rsidR="002C71C8">
        <w:rPr>
          <w:sz w:val="22"/>
          <w:szCs w:val="22"/>
        </w:rPr>
        <w:t xml:space="preserve">, </w:t>
      </w:r>
      <w:r w:rsidR="00023FAB">
        <w:rPr>
          <w:sz w:val="22"/>
          <w:szCs w:val="22"/>
        </w:rPr>
        <w:t xml:space="preserve">the </w:t>
      </w:r>
      <w:r w:rsidR="002C71C8" w:rsidRPr="007158D4">
        <w:rPr>
          <w:i/>
          <w:sz w:val="22"/>
          <w:szCs w:val="22"/>
        </w:rPr>
        <w:t>offset</w:t>
      </w:r>
      <w:r w:rsidR="007158D4">
        <w:rPr>
          <w:sz w:val="22"/>
          <w:szCs w:val="22"/>
        </w:rPr>
        <w:t xml:space="preserve">, </w:t>
      </w:r>
      <w:r w:rsidR="007158D4" w:rsidRPr="007158D4">
        <w:rPr>
          <w:i/>
          <w:sz w:val="22"/>
          <w:szCs w:val="22"/>
        </w:rPr>
        <w:t>number of repetitions</w:t>
      </w:r>
      <w:r w:rsidR="007158D4">
        <w:rPr>
          <w:sz w:val="22"/>
          <w:szCs w:val="22"/>
        </w:rPr>
        <w:t xml:space="preserve"> and </w:t>
      </w:r>
      <w:r w:rsidR="002C71C8" w:rsidRPr="007158D4">
        <w:rPr>
          <w:i/>
          <w:sz w:val="22"/>
          <w:szCs w:val="22"/>
        </w:rPr>
        <w:t>hopping interval</w:t>
      </w:r>
      <w:r w:rsidR="002C71C8">
        <w:rPr>
          <w:sz w:val="22"/>
          <w:szCs w:val="22"/>
        </w:rPr>
        <w:t xml:space="preserve"> should be configured </w:t>
      </w:r>
      <w:r>
        <w:rPr>
          <w:sz w:val="22"/>
          <w:szCs w:val="22"/>
        </w:rPr>
        <w:t>from higher layers.</w:t>
      </w:r>
    </w:p>
    <w:p w:rsidR="00046C82" w:rsidRDefault="00C90AB1" w:rsidP="007C1F57">
      <w:pPr>
        <w:jc w:val="center"/>
        <w:rPr>
          <w:sz w:val="22"/>
          <w:szCs w:val="22"/>
        </w:rPr>
      </w:pPr>
      <w:r w:rsidRPr="00C90AB1">
        <w:rPr>
          <w:noProof/>
          <w:lang w:eastAsia="en-GB"/>
        </w:rPr>
        <w:drawing>
          <wp:inline distT="0" distB="0" distL="0" distR="0">
            <wp:extent cx="4625975" cy="25182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17" cy="25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62D" w:rsidRDefault="00D812CD" w:rsidP="007C1F57">
      <w:pPr>
        <w:jc w:val="both"/>
      </w:pPr>
      <w:r>
        <w:rPr>
          <w:sz w:val="22"/>
          <w:szCs w:val="22"/>
        </w:rPr>
        <w:t xml:space="preserve"> </w:t>
      </w:r>
      <w:r w:rsidR="007C1F57">
        <w:rPr>
          <w:sz w:val="22"/>
          <w:szCs w:val="22"/>
        </w:rPr>
        <w:t xml:space="preserve">  </w:t>
      </w:r>
      <w:r w:rsidR="00FA262D">
        <w:t xml:space="preserve">             </w:t>
      </w:r>
      <w:r w:rsidR="00FA262D" w:rsidRPr="005D7867">
        <w:t xml:space="preserve">Figure 1. </w:t>
      </w:r>
      <w:r w:rsidR="007C1F57">
        <w:t>Frequency hopping pattern for four UEs in a cell (Interval = 1 slot/TTI).</w:t>
      </w:r>
    </w:p>
    <w:p w:rsidR="00F80374" w:rsidRDefault="00F80374" w:rsidP="0023000C">
      <w:pPr>
        <w:jc w:val="both"/>
        <w:rPr>
          <w:bCs/>
          <w:sz w:val="24"/>
          <w:szCs w:val="24"/>
          <w:lang w:val="en-US"/>
        </w:rPr>
      </w:pPr>
    </w:p>
    <w:p w:rsidR="00E45738" w:rsidRPr="00E45738" w:rsidRDefault="00E45738" w:rsidP="00E45738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45738">
        <w:rPr>
          <w:rFonts w:ascii="Times New Roman" w:hAnsi="Times New Roman"/>
          <w:b/>
          <w:lang w:eastAsia="ja-JP"/>
        </w:rPr>
        <w:t>Conclusions</w:t>
      </w:r>
    </w:p>
    <w:p w:rsidR="00B668EA" w:rsidRDefault="00E45738" w:rsidP="00B4232C">
      <w:pPr>
        <w:jc w:val="both"/>
        <w:rPr>
          <w:sz w:val="22"/>
          <w:szCs w:val="22"/>
          <w:lang w:eastAsia="ja-JP"/>
        </w:rPr>
      </w:pPr>
      <w:r w:rsidRPr="00E45738">
        <w:rPr>
          <w:sz w:val="22"/>
          <w:szCs w:val="22"/>
          <w:lang w:eastAsia="ja-JP"/>
        </w:rPr>
        <w:t xml:space="preserve">This contribution outlines some requirements </w:t>
      </w:r>
      <w:r w:rsidRPr="00E45738">
        <w:rPr>
          <w:sz w:val="22"/>
          <w:szCs w:val="22"/>
        </w:rPr>
        <w:t xml:space="preserve">for the </w:t>
      </w:r>
      <w:r w:rsidR="00305250">
        <w:rPr>
          <w:sz w:val="22"/>
          <w:szCs w:val="22"/>
        </w:rPr>
        <w:t xml:space="preserve">frequency </w:t>
      </w:r>
      <w:r w:rsidRPr="00E45738">
        <w:rPr>
          <w:sz w:val="22"/>
          <w:szCs w:val="22"/>
        </w:rPr>
        <w:t xml:space="preserve">hopping </w:t>
      </w:r>
      <w:r>
        <w:rPr>
          <w:sz w:val="22"/>
          <w:szCs w:val="22"/>
        </w:rPr>
        <w:t xml:space="preserve">design </w:t>
      </w:r>
      <w:r w:rsidR="00B4232C">
        <w:rPr>
          <w:sz w:val="22"/>
          <w:szCs w:val="22"/>
        </w:rPr>
        <w:t xml:space="preserve">for NR </w:t>
      </w:r>
      <w:r w:rsidR="00B4232C">
        <w:rPr>
          <w:sz w:val="22"/>
          <w:szCs w:val="22"/>
          <w:lang w:eastAsia="ja-JP"/>
        </w:rPr>
        <w:t>PUSCH transmission</w:t>
      </w:r>
      <w:r w:rsidR="00711907">
        <w:rPr>
          <w:sz w:val="22"/>
          <w:szCs w:val="22"/>
          <w:lang w:eastAsia="ja-JP"/>
        </w:rPr>
        <w:t xml:space="preserve"> (</w:t>
      </w:r>
      <w:r w:rsidR="00711907" w:rsidRPr="008F4DBD">
        <w:rPr>
          <w:szCs w:val="24"/>
          <w:lang w:val="en-US" w:eastAsia="ja-JP"/>
        </w:rPr>
        <w:t>DFT-s-</w:t>
      </w:r>
      <w:r w:rsidR="00711907">
        <w:rPr>
          <w:szCs w:val="24"/>
          <w:lang w:val="en-US" w:eastAsia="ja-JP"/>
        </w:rPr>
        <w:t>OFDM waveform)</w:t>
      </w:r>
      <w:r>
        <w:rPr>
          <w:sz w:val="22"/>
          <w:szCs w:val="22"/>
        </w:rPr>
        <w:t xml:space="preserve">, and </w:t>
      </w:r>
      <w:r w:rsidR="00282A14">
        <w:rPr>
          <w:sz w:val="22"/>
          <w:szCs w:val="22"/>
        </w:rPr>
        <w:t xml:space="preserve">it </w:t>
      </w:r>
      <w:r>
        <w:rPr>
          <w:sz w:val="22"/>
          <w:szCs w:val="22"/>
        </w:rPr>
        <w:t xml:space="preserve">also </w:t>
      </w:r>
      <w:r w:rsidR="00B4232C">
        <w:rPr>
          <w:sz w:val="22"/>
          <w:szCs w:val="22"/>
        </w:rPr>
        <w:t>described</w:t>
      </w:r>
      <w:r>
        <w:rPr>
          <w:sz w:val="22"/>
          <w:szCs w:val="22"/>
        </w:rPr>
        <w:t xml:space="preserve"> </w:t>
      </w:r>
      <w:r w:rsidR="00B4232C">
        <w:rPr>
          <w:sz w:val="22"/>
          <w:szCs w:val="22"/>
        </w:rPr>
        <w:t xml:space="preserve">a </w:t>
      </w:r>
      <w:r w:rsidR="00B4232C">
        <w:rPr>
          <w:sz w:val="22"/>
          <w:szCs w:val="22"/>
          <w:lang w:eastAsia="ja-JP"/>
        </w:rPr>
        <w:t xml:space="preserve">frequency hopping scheme </w:t>
      </w:r>
      <w:r>
        <w:rPr>
          <w:sz w:val="22"/>
          <w:szCs w:val="22"/>
        </w:rPr>
        <w:t xml:space="preserve">similar </w:t>
      </w:r>
      <w:r w:rsidR="00B4232C">
        <w:rPr>
          <w:sz w:val="22"/>
          <w:szCs w:val="22"/>
        </w:rPr>
        <w:t xml:space="preserve">to LTE </w:t>
      </w:r>
      <w:r>
        <w:rPr>
          <w:sz w:val="22"/>
          <w:szCs w:val="22"/>
        </w:rPr>
        <w:t xml:space="preserve">eMTC </w:t>
      </w:r>
      <w:r w:rsidR="00305250">
        <w:rPr>
          <w:sz w:val="22"/>
          <w:szCs w:val="22"/>
        </w:rPr>
        <w:t>FH</w:t>
      </w:r>
      <w:r>
        <w:rPr>
          <w:sz w:val="22"/>
          <w:szCs w:val="22"/>
        </w:rPr>
        <w:t xml:space="preserve"> scheme</w:t>
      </w:r>
      <w:r w:rsidRPr="00E45738">
        <w:rPr>
          <w:sz w:val="22"/>
          <w:szCs w:val="22"/>
          <w:lang w:eastAsia="ja-JP"/>
        </w:rPr>
        <w:t xml:space="preserve">. </w:t>
      </w:r>
    </w:p>
    <w:p w:rsidR="00FA296B" w:rsidRDefault="00B4232C" w:rsidP="00B4232C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We propose the frequency hopping scheme described </w:t>
      </w:r>
      <w:r w:rsidR="00FA296B">
        <w:rPr>
          <w:sz w:val="22"/>
          <w:szCs w:val="22"/>
          <w:lang w:eastAsia="ja-JP"/>
        </w:rPr>
        <w:t>as follows:</w:t>
      </w:r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Let </w:t>
      </w:r>
      <w:r w:rsidRPr="00B668EA">
        <w:rPr>
          <w:position w:val="-10"/>
        </w:rPr>
        <w:object w:dxaOrig="480" w:dyaOrig="360">
          <v:shape id="_x0000_i1029" type="#_x0000_t75" style="width:24.35pt;height:18.35pt" o:ole="">
            <v:imagedata r:id="rId8" o:title=""/>
          </v:shape>
          <o:OLEObject Type="Embed" ProgID="Equation.3" ShapeID="_x0000_i1029" DrawAspect="Content" ObjectID="_1566398893" r:id="rId17"/>
        </w:object>
      </w:r>
      <w:r w:rsidRPr="00B668EA">
        <w:t xml:space="preserve"> be the total number of Resource Blocks (RBs) in a bandwidth part </w:t>
      </w:r>
      <w:r w:rsidRPr="00B668EA">
        <w:rPr>
          <w:lang w:eastAsia="ja-JP"/>
        </w:rPr>
        <w:t>for a given subcarrier spacing</w:t>
      </w:r>
      <w:r w:rsidRPr="00B668EA">
        <w:t xml:space="preserve">. </w:t>
      </w:r>
    </w:p>
    <w:p w:rsidR="00911BC6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>Let the bandwidth part be divided into</w:t>
      </w:r>
      <w:r w:rsidRPr="00B668EA">
        <w:rPr>
          <w:position w:val="-12"/>
        </w:rPr>
        <w:object w:dxaOrig="480" w:dyaOrig="380">
          <v:shape id="_x0000_i1030" type="#_x0000_t75" style="width:24.35pt;height:19.35pt" o:ole="">
            <v:imagedata r:id="rId10" o:title=""/>
          </v:shape>
          <o:OLEObject Type="Embed" ProgID="Equation.3" ShapeID="_x0000_i1030" DrawAspect="Content" ObjectID="_1566398894" r:id="rId18"/>
        </w:object>
      </w:r>
      <w:proofErr w:type="spellStart"/>
      <w:r w:rsidRPr="00B668EA">
        <w:t>narrowbands</w:t>
      </w:r>
      <w:proofErr w:type="spellEnd"/>
      <w:r w:rsidRPr="00B668EA">
        <w:t xml:space="preserve"> as</w:t>
      </w:r>
      <w:r w:rsidRPr="00B668EA">
        <w:rPr>
          <w:position w:val="-32"/>
        </w:rPr>
        <w:object w:dxaOrig="1380" w:dyaOrig="760">
          <v:shape id="_x0000_i1031" type="#_x0000_t75" style="width:68.35pt;height:37.65pt" o:ole="">
            <v:imagedata r:id="rId12" o:title=""/>
          </v:shape>
          <o:OLEObject Type="Embed" ProgID="Equation.3" ShapeID="_x0000_i1031" DrawAspect="Content" ObjectID="_1566398895" r:id="rId19"/>
        </w:object>
      </w:r>
      <w:r w:rsidRPr="00B668EA">
        <w:t>, where Q is16.</w:t>
      </w:r>
    </w:p>
    <w:p w:rsidR="00874F84" w:rsidRPr="00B668EA" w:rsidRDefault="00874F84" w:rsidP="00874F84">
      <w:pPr>
        <w:pStyle w:val="ListParagraph"/>
        <w:numPr>
          <w:ilvl w:val="0"/>
          <w:numId w:val="36"/>
        </w:numPr>
        <w:jc w:val="both"/>
      </w:pPr>
      <w:r w:rsidRPr="00B668EA">
        <w:t xml:space="preserve">The frequency hopping pattern cycles through two </w:t>
      </w:r>
      <w:proofErr w:type="spellStart"/>
      <w:r w:rsidRPr="00B668EA">
        <w:t>narrowbands</w:t>
      </w:r>
      <w:proofErr w:type="spellEnd"/>
      <w:r w:rsidRPr="00B668EA">
        <w:t xml:space="preserve"> (first and second) respectively.</w:t>
      </w:r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DCI indicates the </w:t>
      </w:r>
      <w:r w:rsidRPr="00B668EA">
        <w:rPr>
          <w:i/>
        </w:rPr>
        <w:t>first narrowband (NB)</w:t>
      </w:r>
      <w:r w:rsidRPr="00B668EA">
        <w:t xml:space="preserve"> and a number of </w:t>
      </w:r>
      <w:r w:rsidRPr="00B668EA">
        <w:rPr>
          <w:i/>
        </w:rPr>
        <w:t>contiguous PRB resources</w:t>
      </w:r>
      <w:r w:rsidRPr="00B668EA">
        <w:t xml:space="preserve"> within the indicated </w:t>
      </w:r>
      <w:r w:rsidR="00874F84" w:rsidRPr="00B668EA">
        <w:t>narrowband for hopping</w:t>
      </w:r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The </w:t>
      </w:r>
      <w:r w:rsidRPr="00B668EA">
        <w:rPr>
          <w:i/>
        </w:rPr>
        <w:t>second narrowband</w:t>
      </w:r>
      <w:r w:rsidRPr="00B668EA">
        <w:t xml:space="preserve"> is determined from an offset starting the first narrowband where this </w:t>
      </w:r>
      <w:r w:rsidRPr="00B668EA">
        <w:rPr>
          <w:i/>
        </w:rPr>
        <w:t>offset</w:t>
      </w:r>
      <w:r w:rsidRPr="00B668EA">
        <w:t xml:space="preserve"> is cell-specific and configurable.</w:t>
      </w:r>
    </w:p>
    <w:p w:rsidR="00A30FAC" w:rsidRPr="00B668EA" w:rsidRDefault="00A30FAC" w:rsidP="00065F1F">
      <w:pPr>
        <w:pStyle w:val="ListParagraph"/>
        <w:numPr>
          <w:ilvl w:val="0"/>
          <w:numId w:val="36"/>
        </w:numPr>
        <w:jc w:val="both"/>
      </w:pPr>
      <w:r w:rsidRPr="00B668EA">
        <w:t xml:space="preserve">Multi-slot scheduling and or time-domain repetition is supported, e.g. {1, 2, 4, 8, </w:t>
      </w:r>
      <w:proofErr w:type="gramStart"/>
      <w:r w:rsidRPr="00B668EA">
        <w:t>16</w:t>
      </w:r>
      <w:proofErr w:type="gramEnd"/>
      <w:r w:rsidRPr="00B668EA">
        <w:t>}.</w:t>
      </w:r>
    </w:p>
    <w:p w:rsidR="00A30FAC" w:rsidRPr="00B668EA" w:rsidRDefault="00A30FAC" w:rsidP="00065F1F">
      <w:pPr>
        <w:pStyle w:val="ListParagraph"/>
        <w:numPr>
          <w:ilvl w:val="0"/>
          <w:numId w:val="36"/>
        </w:numPr>
        <w:jc w:val="both"/>
      </w:pPr>
      <w:r w:rsidRPr="00B668EA">
        <w:t xml:space="preserve">Frequency hopping intervals of at least {1, 2, 4, 8} </w:t>
      </w:r>
      <w:r w:rsidR="005463D1" w:rsidRPr="00B668EA">
        <w:t>are</w:t>
      </w:r>
      <w:r w:rsidRPr="00B668EA">
        <w:t xml:space="preserve"> supported.</w:t>
      </w:r>
    </w:p>
    <w:p w:rsidR="00874F84" w:rsidRPr="00B668EA" w:rsidRDefault="00874F84" w:rsidP="00874F84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lastRenderedPageBreak/>
        <w:t xml:space="preserve">Frequency hopping should be enabled or disabled by a </w:t>
      </w:r>
      <w:r w:rsidRPr="00B668EA">
        <w:rPr>
          <w:i/>
        </w:rPr>
        <w:t>flag</w:t>
      </w:r>
      <w:r w:rsidRPr="00B668EA">
        <w:t xml:space="preserve"> in the DCI format</w:t>
      </w:r>
    </w:p>
    <w:p w:rsidR="00874F84" w:rsidRPr="00B668EA" w:rsidRDefault="00874F84" w:rsidP="00874F84">
      <w:pPr>
        <w:pStyle w:val="ListParagraph"/>
        <w:numPr>
          <w:ilvl w:val="1"/>
          <w:numId w:val="36"/>
        </w:numPr>
        <w:jc w:val="both"/>
        <w:rPr>
          <w:lang w:eastAsia="ja-JP"/>
        </w:rPr>
      </w:pPr>
      <w:r w:rsidRPr="00B668EA">
        <w:t xml:space="preserve">In case of grant free (GF) transmission, </w:t>
      </w:r>
      <w:r w:rsidRPr="00B668EA">
        <w:rPr>
          <w:lang w:eastAsia="ja-JP"/>
        </w:rPr>
        <w:t>frequency hopping is configured and enabled by higher layers</w:t>
      </w:r>
    </w:p>
    <w:p w:rsidR="00065F1F" w:rsidRPr="00065F1F" w:rsidRDefault="00065F1F" w:rsidP="00065F1F">
      <w:pPr>
        <w:jc w:val="both"/>
        <w:rPr>
          <w:sz w:val="22"/>
          <w:szCs w:val="22"/>
          <w:lang w:eastAsia="ja-JP"/>
        </w:rPr>
      </w:pPr>
    </w:p>
    <w:p w:rsidR="00B4232C" w:rsidRPr="00E45738" w:rsidRDefault="00B4232C" w:rsidP="00B4232C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lang w:eastAsia="ja-JP"/>
        </w:rPr>
        <w:t>References</w:t>
      </w:r>
    </w:p>
    <w:p w:rsidR="00B4232C" w:rsidRPr="00B668EA" w:rsidRDefault="00B4232C" w:rsidP="00E24C79">
      <w:pPr>
        <w:pStyle w:val="ListParagraph"/>
        <w:numPr>
          <w:ilvl w:val="0"/>
          <w:numId w:val="31"/>
        </w:numPr>
        <w:rPr>
          <w:lang w:eastAsia="ja-JP"/>
        </w:rPr>
      </w:pPr>
      <w:r w:rsidRPr="00B668EA">
        <w:rPr>
          <w:lang w:eastAsia="ja-JP"/>
        </w:rPr>
        <w:t>LTE TS 36.211</w:t>
      </w:r>
      <w:r w:rsidR="00282A14" w:rsidRPr="00B668EA">
        <w:rPr>
          <w:lang w:eastAsia="ja-JP"/>
        </w:rPr>
        <w:t xml:space="preserve"> V13.50</w:t>
      </w:r>
    </w:p>
    <w:sectPr w:rsidR="00B4232C" w:rsidRPr="00B668EA" w:rsidSect="005E7B21">
      <w:headerReference w:type="default" r:id="rId20"/>
      <w:foot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995" w:rsidRDefault="003A1995">
      <w:r>
        <w:separator/>
      </w:r>
    </w:p>
  </w:endnote>
  <w:endnote w:type="continuationSeparator" w:id="0">
    <w:p w:rsidR="003A1995" w:rsidRDefault="003A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5509">
      <w:rPr>
        <w:rStyle w:val="PageNumber"/>
      </w:rPr>
      <w:t>1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995" w:rsidRDefault="003A1995">
      <w:r>
        <w:separator/>
      </w:r>
    </w:p>
  </w:footnote>
  <w:footnote w:type="continuationSeparator" w:id="0">
    <w:p w:rsidR="003A1995" w:rsidRDefault="003A1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D7E60"/>
    <w:multiLevelType w:val="hybridMultilevel"/>
    <w:tmpl w:val="FE82696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B4654DE"/>
    <w:multiLevelType w:val="hybridMultilevel"/>
    <w:tmpl w:val="28DC03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2F2388"/>
    <w:multiLevelType w:val="hybridMultilevel"/>
    <w:tmpl w:val="735E6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AD7D41"/>
    <w:multiLevelType w:val="hybridMultilevel"/>
    <w:tmpl w:val="5B505F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E85633"/>
    <w:multiLevelType w:val="hybridMultilevel"/>
    <w:tmpl w:val="7AC8CCE8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28C2"/>
    <w:multiLevelType w:val="hybridMultilevel"/>
    <w:tmpl w:val="274AA7E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A44B7"/>
    <w:multiLevelType w:val="hybridMultilevel"/>
    <w:tmpl w:val="D52E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1"/>
  </w:num>
  <w:num w:numId="4">
    <w:abstractNumId w:val="33"/>
  </w:num>
  <w:num w:numId="5">
    <w:abstractNumId w:val="13"/>
  </w:num>
  <w:num w:numId="6">
    <w:abstractNumId w:val="25"/>
  </w:num>
  <w:num w:numId="7">
    <w:abstractNumId w:val="0"/>
  </w:num>
  <w:num w:numId="8">
    <w:abstractNumId w:val="1"/>
  </w:num>
  <w:num w:numId="9">
    <w:abstractNumId w:val="29"/>
  </w:num>
  <w:num w:numId="10">
    <w:abstractNumId w:val="5"/>
  </w:num>
  <w:num w:numId="11">
    <w:abstractNumId w:val="19"/>
  </w:num>
  <w:num w:numId="12">
    <w:abstractNumId w:val="6"/>
  </w:num>
  <w:num w:numId="13">
    <w:abstractNumId w:val="23"/>
  </w:num>
  <w:num w:numId="14">
    <w:abstractNumId w:val="27"/>
  </w:num>
  <w:num w:numId="15">
    <w:abstractNumId w:val="2"/>
  </w:num>
  <w:num w:numId="16">
    <w:abstractNumId w:val="3"/>
  </w:num>
  <w:num w:numId="17">
    <w:abstractNumId w:val="34"/>
  </w:num>
  <w:num w:numId="18">
    <w:abstractNumId w:val="22"/>
  </w:num>
  <w:num w:numId="19">
    <w:abstractNumId w:val="11"/>
  </w:num>
  <w:num w:numId="20">
    <w:abstractNumId w:val="28"/>
  </w:num>
  <w:num w:numId="21">
    <w:abstractNumId w:val="10"/>
  </w:num>
  <w:num w:numId="22">
    <w:abstractNumId w:val="9"/>
  </w:num>
  <w:num w:numId="23">
    <w:abstractNumId w:val="20"/>
  </w:num>
  <w:num w:numId="24">
    <w:abstractNumId w:val="15"/>
  </w:num>
  <w:num w:numId="25">
    <w:abstractNumId w:val="12"/>
  </w:num>
  <w:num w:numId="26">
    <w:abstractNumId w:val="16"/>
  </w:num>
  <w:num w:numId="27">
    <w:abstractNumId w:val="31"/>
  </w:num>
  <w:num w:numId="28">
    <w:abstractNumId w:val="26"/>
  </w:num>
  <w:num w:numId="29">
    <w:abstractNumId w:val="32"/>
  </w:num>
  <w:num w:numId="30">
    <w:abstractNumId w:val="35"/>
  </w:num>
  <w:num w:numId="31">
    <w:abstractNumId w:val="24"/>
  </w:num>
  <w:num w:numId="32">
    <w:abstractNumId w:val="14"/>
  </w:num>
  <w:num w:numId="33">
    <w:abstractNumId w:val="7"/>
  </w:num>
  <w:num w:numId="34">
    <w:abstractNumId w:val="4"/>
  </w:num>
  <w:num w:numId="35">
    <w:abstractNumId w:val="30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3FAB"/>
    <w:rsid w:val="0002437F"/>
    <w:rsid w:val="0002456E"/>
    <w:rsid w:val="00025192"/>
    <w:rsid w:val="00025A5B"/>
    <w:rsid w:val="00025DD0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6C82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D48"/>
    <w:rsid w:val="00064ED8"/>
    <w:rsid w:val="00065015"/>
    <w:rsid w:val="00065383"/>
    <w:rsid w:val="00065F1F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D11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B2"/>
    <w:rsid w:val="000A0617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3D6"/>
    <w:rsid w:val="000B165A"/>
    <w:rsid w:val="000B16DA"/>
    <w:rsid w:val="000B1C4A"/>
    <w:rsid w:val="000B2337"/>
    <w:rsid w:val="000B28EF"/>
    <w:rsid w:val="000B2E32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AF"/>
    <w:rsid w:val="000C2CB3"/>
    <w:rsid w:val="000C2F3B"/>
    <w:rsid w:val="000C3656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5DD5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BE5"/>
    <w:rsid w:val="00135DB7"/>
    <w:rsid w:val="00135E94"/>
    <w:rsid w:val="00136673"/>
    <w:rsid w:val="00136703"/>
    <w:rsid w:val="00136AAC"/>
    <w:rsid w:val="00136BCF"/>
    <w:rsid w:val="00136DB4"/>
    <w:rsid w:val="001378C6"/>
    <w:rsid w:val="00137C9D"/>
    <w:rsid w:val="001400EE"/>
    <w:rsid w:val="001401EF"/>
    <w:rsid w:val="0014028A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249"/>
    <w:rsid w:val="00152E44"/>
    <w:rsid w:val="00153393"/>
    <w:rsid w:val="001537FF"/>
    <w:rsid w:val="00153842"/>
    <w:rsid w:val="00153D91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297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A21"/>
    <w:rsid w:val="00193BA0"/>
    <w:rsid w:val="00194262"/>
    <w:rsid w:val="00194899"/>
    <w:rsid w:val="00194C3D"/>
    <w:rsid w:val="00194EEA"/>
    <w:rsid w:val="001952CC"/>
    <w:rsid w:val="00195588"/>
    <w:rsid w:val="00195BB3"/>
    <w:rsid w:val="00195E2B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3C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678"/>
    <w:rsid w:val="001C77CA"/>
    <w:rsid w:val="001C7DCA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C4D"/>
    <w:rsid w:val="001D2EB5"/>
    <w:rsid w:val="001D35FB"/>
    <w:rsid w:val="001D37CF"/>
    <w:rsid w:val="001D3A26"/>
    <w:rsid w:val="001D41EB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BC3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53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184"/>
    <w:rsid w:val="002162E1"/>
    <w:rsid w:val="00216479"/>
    <w:rsid w:val="00216711"/>
    <w:rsid w:val="00217134"/>
    <w:rsid w:val="0021764D"/>
    <w:rsid w:val="00217A11"/>
    <w:rsid w:val="00217FAE"/>
    <w:rsid w:val="0022002A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9DD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A14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1C8"/>
    <w:rsid w:val="002C75FA"/>
    <w:rsid w:val="002D0082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8E1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104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50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1D2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A72"/>
    <w:rsid w:val="00352E46"/>
    <w:rsid w:val="0035329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CD3"/>
    <w:rsid w:val="00355DA0"/>
    <w:rsid w:val="00355F30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6A5A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95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186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4BD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4D99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21E5"/>
    <w:rsid w:val="0041248C"/>
    <w:rsid w:val="00412659"/>
    <w:rsid w:val="00412DDB"/>
    <w:rsid w:val="00413019"/>
    <w:rsid w:val="004133B4"/>
    <w:rsid w:val="0041360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44D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3E4"/>
    <w:rsid w:val="004A0212"/>
    <w:rsid w:val="004A04AD"/>
    <w:rsid w:val="004A0B49"/>
    <w:rsid w:val="004A13D2"/>
    <w:rsid w:val="004A144E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070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C1B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C57"/>
    <w:rsid w:val="00502C74"/>
    <w:rsid w:val="00503719"/>
    <w:rsid w:val="00503F4D"/>
    <w:rsid w:val="00504C07"/>
    <w:rsid w:val="00504F96"/>
    <w:rsid w:val="005051D1"/>
    <w:rsid w:val="00505CD5"/>
    <w:rsid w:val="00506061"/>
    <w:rsid w:val="005061A9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170"/>
    <w:rsid w:val="0054630D"/>
    <w:rsid w:val="005463D1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12E1"/>
    <w:rsid w:val="005813D9"/>
    <w:rsid w:val="00581A12"/>
    <w:rsid w:val="00581A54"/>
    <w:rsid w:val="005822CD"/>
    <w:rsid w:val="0058245F"/>
    <w:rsid w:val="005828CA"/>
    <w:rsid w:val="00582B51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BCD"/>
    <w:rsid w:val="00590E03"/>
    <w:rsid w:val="0059133D"/>
    <w:rsid w:val="00591775"/>
    <w:rsid w:val="005918E8"/>
    <w:rsid w:val="0059207A"/>
    <w:rsid w:val="00592A0D"/>
    <w:rsid w:val="00592D46"/>
    <w:rsid w:val="00593253"/>
    <w:rsid w:val="005933A0"/>
    <w:rsid w:val="00593BB5"/>
    <w:rsid w:val="00593E10"/>
    <w:rsid w:val="00593F38"/>
    <w:rsid w:val="005942AB"/>
    <w:rsid w:val="0059436A"/>
    <w:rsid w:val="0059497F"/>
    <w:rsid w:val="00595830"/>
    <w:rsid w:val="00595B49"/>
    <w:rsid w:val="00595C60"/>
    <w:rsid w:val="00595EE4"/>
    <w:rsid w:val="00596195"/>
    <w:rsid w:val="0059626E"/>
    <w:rsid w:val="00596907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9FA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E1"/>
    <w:rsid w:val="005D1065"/>
    <w:rsid w:val="005D139F"/>
    <w:rsid w:val="005D18C5"/>
    <w:rsid w:val="005D1991"/>
    <w:rsid w:val="005D21DD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7E8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867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05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0B2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5D24"/>
    <w:rsid w:val="006463E1"/>
    <w:rsid w:val="00646E8E"/>
    <w:rsid w:val="00647363"/>
    <w:rsid w:val="006475BE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7CA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EA3"/>
    <w:rsid w:val="006A3F8F"/>
    <w:rsid w:val="006A411C"/>
    <w:rsid w:val="006A5CE9"/>
    <w:rsid w:val="006A6304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907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3CA0"/>
    <w:rsid w:val="00714967"/>
    <w:rsid w:val="00714BC7"/>
    <w:rsid w:val="00714F5A"/>
    <w:rsid w:val="007151DB"/>
    <w:rsid w:val="0071532C"/>
    <w:rsid w:val="0071543B"/>
    <w:rsid w:val="00715803"/>
    <w:rsid w:val="007158D4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11D"/>
    <w:rsid w:val="007224C5"/>
    <w:rsid w:val="00722A42"/>
    <w:rsid w:val="00723254"/>
    <w:rsid w:val="00723341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2F9"/>
    <w:rsid w:val="0073135C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004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403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DA5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6B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934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4B8"/>
    <w:rsid w:val="007C0843"/>
    <w:rsid w:val="007C1821"/>
    <w:rsid w:val="007C1B37"/>
    <w:rsid w:val="007C1F5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A4B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56F"/>
    <w:rsid w:val="00832611"/>
    <w:rsid w:val="00832CB1"/>
    <w:rsid w:val="008339C5"/>
    <w:rsid w:val="00834306"/>
    <w:rsid w:val="008346A9"/>
    <w:rsid w:val="00834D04"/>
    <w:rsid w:val="00834EA2"/>
    <w:rsid w:val="0083524E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26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4F84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306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97760"/>
    <w:rsid w:val="008A0C92"/>
    <w:rsid w:val="008A18B4"/>
    <w:rsid w:val="008A18B8"/>
    <w:rsid w:val="008A1B68"/>
    <w:rsid w:val="008A1F09"/>
    <w:rsid w:val="008A2BED"/>
    <w:rsid w:val="008A33CC"/>
    <w:rsid w:val="008A42D8"/>
    <w:rsid w:val="008A473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BD3"/>
    <w:rsid w:val="008B1E88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46E2"/>
    <w:rsid w:val="008F4737"/>
    <w:rsid w:val="008F4BDF"/>
    <w:rsid w:val="008F4D00"/>
    <w:rsid w:val="008F4DBD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91"/>
    <w:rsid w:val="009053B3"/>
    <w:rsid w:val="00905933"/>
    <w:rsid w:val="00905A73"/>
    <w:rsid w:val="00905B33"/>
    <w:rsid w:val="00905DCE"/>
    <w:rsid w:val="00906344"/>
    <w:rsid w:val="0090636C"/>
    <w:rsid w:val="00906ACF"/>
    <w:rsid w:val="00906D1D"/>
    <w:rsid w:val="00906FEB"/>
    <w:rsid w:val="009070EB"/>
    <w:rsid w:val="009102BE"/>
    <w:rsid w:val="00910A9D"/>
    <w:rsid w:val="00910D48"/>
    <w:rsid w:val="00910FE3"/>
    <w:rsid w:val="009117BE"/>
    <w:rsid w:val="00911BC6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B7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DE5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C51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6D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905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2DF9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840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0C49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12D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629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AC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E23"/>
    <w:rsid w:val="00A33F57"/>
    <w:rsid w:val="00A34647"/>
    <w:rsid w:val="00A34D55"/>
    <w:rsid w:val="00A34E0F"/>
    <w:rsid w:val="00A356EB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4C03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1F3"/>
    <w:rsid w:val="00A61373"/>
    <w:rsid w:val="00A61412"/>
    <w:rsid w:val="00A61457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4627"/>
    <w:rsid w:val="00AB4712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A28"/>
    <w:rsid w:val="00AC0D83"/>
    <w:rsid w:val="00AC0EF1"/>
    <w:rsid w:val="00AC0F4B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0A1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1E0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D2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9DA"/>
    <w:rsid w:val="00B06AB4"/>
    <w:rsid w:val="00B06B00"/>
    <w:rsid w:val="00B06F5B"/>
    <w:rsid w:val="00B07114"/>
    <w:rsid w:val="00B075C4"/>
    <w:rsid w:val="00B07665"/>
    <w:rsid w:val="00B079A8"/>
    <w:rsid w:val="00B07D32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136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6F35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232C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1C3F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28D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8EA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45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589"/>
    <w:rsid w:val="00BD1B3F"/>
    <w:rsid w:val="00BD27F0"/>
    <w:rsid w:val="00BD2A27"/>
    <w:rsid w:val="00BD2A5D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BC4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B8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7251"/>
    <w:rsid w:val="00C3001C"/>
    <w:rsid w:val="00C306EB"/>
    <w:rsid w:val="00C3077D"/>
    <w:rsid w:val="00C309BD"/>
    <w:rsid w:val="00C31116"/>
    <w:rsid w:val="00C31AF0"/>
    <w:rsid w:val="00C31D58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09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5FE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B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0DC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8E3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33"/>
    <w:rsid w:val="00D10AE3"/>
    <w:rsid w:val="00D10E00"/>
    <w:rsid w:val="00D10E3E"/>
    <w:rsid w:val="00D116CD"/>
    <w:rsid w:val="00D1189C"/>
    <w:rsid w:val="00D118D9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A18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2679"/>
    <w:rsid w:val="00D532D4"/>
    <w:rsid w:val="00D5359C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97F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2CD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FEE"/>
    <w:rsid w:val="00D932E2"/>
    <w:rsid w:val="00D93652"/>
    <w:rsid w:val="00D93A82"/>
    <w:rsid w:val="00D93B71"/>
    <w:rsid w:val="00D9407A"/>
    <w:rsid w:val="00D94279"/>
    <w:rsid w:val="00D945D8"/>
    <w:rsid w:val="00D9473B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9A4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934"/>
    <w:rsid w:val="00DC1F16"/>
    <w:rsid w:val="00DC211E"/>
    <w:rsid w:val="00DC2472"/>
    <w:rsid w:val="00DC254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CB1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7AA"/>
    <w:rsid w:val="00E02E07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4B43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4F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F6F"/>
    <w:rsid w:val="00E370EA"/>
    <w:rsid w:val="00E37254"/>
    <w:rsid w:val="00E37817"/>
    <w:rsid w:val="00E40183"/>
    <w:rsid w:val="00E40361"/>
    <w:rsid w:val="00E404FF"/>
    <w:rsid w:val="00E412C1"/>
    <w:rsid w:val="00E41609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38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A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90"/>
    <w:rsid w:val="00E91AB9"/>
    <w:rsid w:val="00E91E4D"/>
    <w:rsid w:val="00E925DB"/>
    <w:rsid w:val="00E92E1C"/>
    <w:rsid w:val="00E92E26"/>
    <w:rsid w:val="00E93114"/>
    <w:rsid w:val="00E93497"/>
    <w:rsid w:val="00E93901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854"/>
    <w:rsid w:val="00EA48F8"/>
    <w:rsid w:val="00EA4D39"/>
    <w:rsid w:val="00EA4D7F"/>
    <w:rsid w:val="00EA543B"/>
    <w:rsid w:val="00EA549E"/>
    <w:rsid w:val="00EA55FB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0F0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0D46"/>
    <w:rsid w:val="00F2124C"/>
    <w:rsid w:val="00F21388"/>
    <w:rsid w:val="00F2180D"/>
    <w:rsid w:val="00F21AD5"/>
    <w:rsid w:val="00F21F4F"/>
    <w:rsid w:val="00F2242D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7D"/>
    <w:rsid w:val="00F82CAE"/>
    <w:rsid w:val="00F8375C"/>
    <w:rsid w:val="00F83937"/>
    <w:rsid w:val="00F83A09"/>
    <w:rsid w:val="00F83AFA"/>
    <w:rsid w:val="00F83FBA"/>
    <w:rsid w:val="00F84288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B92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262D"/>
    <w:rsid w:val="00FA296B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E5D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304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A690DA-DEE9-4CE8-9D10-A2BC35E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EQ">
    <w:name w:val="EQ"/>
    <w:basedOn w:val="Normal"/>
    <w:next w:val="Normal"/>
    <w:rsid w:val="0090539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link w:val="B1"/>
    <w:uiPriority w:val="99"/>
    <w:locked/>
    <w:rsid w:val="00905391"/>
    <w:rPr>
      <w:rFonts w:ascii="Times New Roman" w:hAnsi="Times New Roman"/>
      <w:lang w:eastAsia="en-US"/>
    </w:rPr>
  </w:style>
  <w:style w:type="paragraph" w:customStyle="1" w:styleId="CRCoverPage">
    <w:name w:val="CR Cover Page"/>
    <w:rsid w:val="00B6228D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6A5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7E186-143F-4CEC-99C7-9C5F868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hopping for UL PUSCH</vt:lpstr>
      <vt:lpstr>PDSCH coverage enhancement</vt:lpstr>
    </vt:vector>
  </TitlesOfParts>
  <Company>NEC Group</Company>
  <LinksUpToDate>false</LinksUpToDate>
  <CharactersWithSpaces>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hopping for UL PUSCH</dc:title>
  <dc:subject/>
  <dc:creator>Yassin Awad</dc:creator>
  <cp:keywords/>
  <cp:lastModifiedBy>Yassin Awad</cp:lastModifiedBy>
  <cp:revision>3</cp:revision>
  <cp:lastPrinted>2013-10-23T14:18:00Z</cp:lastPrinted>
  <dcterms:created xsi:type="dcterms:W3CDTF">2017-09-08T15:53:00Z</dcterms:created>
  <dcterms:modified xsi:type="dcterms:W3CDTF">2017-09-08T16:19:00Z</dcterms:modified>
</cp:coreProperties>
</file>